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4C" w:rsidRPr="00FF224C" w:rsidRDefault="00FF224C" w:rsidP="00FF224C">
      <w:pPr>
        <w:spacing w:after="0" w:line="240" w:lineRule="auto"/>
        <w:jc w:val="both"/>
        <w:rPr>
          <w:rFonts w:ascii="Times New Roman" w:hAnsi="Times New Roman" w:cs="Times New Roman"/>
          <w:b/>
          <w:sz w:val="24"/>
          <w:szCs w:val="24"/>
        </w:rPr>
      </w:pPr>
      <w:r w:rsidRPr="00FF224C">
        <w:rPr>
          <w:rFonts w:ascii="Times New Roman" w:hAnsi="Times New Roman" w:cs="Times New Roman"/>
          <w:b/>
          <w:sz w:val="24"/>
          <w:szCs w:val="24"/>
        </w:rPr>
        <w:t>Уголовная ответственность за уклонение от прохождения военной службы</w:t>
      </w:r>
    </w:p>
    <w:p w:rsidR="00FF224C" w:rsidRPr="00FF224C" w:rsidRDefault="00FF224C" w:rsidP="00FF224C">
      <w:pPr>
        <w:spacing w:after="0" w:line="240" w:lineRule="auto"/>
        <w:jc w:val="both"/>
        <w:rPr>
          <w:rFonts w:ascii="Times New Roman" w:hAnsi="Times New Roman" w:cs="Times New Roman"/>
          <w:sz w:val="24"/>
          <w:szCs w:val="24"/>
        </w:rPr>
      </w:pP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В соответствии со статьёй 59 Конституции Российской Федерации защита Отечества является долгом и обязанностью гражданина Российской Федерации. Гражданин несет военную службу в соответствии с федеральным законом и имеет право на замену её альтернативной гражданской службой в установленных федеральным законом случаях.</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За уклонение от прохождения военной и альтернативной гражданской службы предусмотрена уголовная ответственность по ст. 328 Уголовного кодекса Российской Федерации.</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Федеральным законом от 28.03.1998 № 53 «О воинской обязанности и военной службе» установлено, что призыву подлежат граждане мужского пола от 18 до 27 лет, состоящие на воинском учете или не состоящие, но обязанные состоять и не пребывающие в запасе. На законодательном уровне принято решение об увеличении возраста призыва до 30 лет после 01.01.2024.</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Уклонение от призыва на военную службу – это неявка по повестке военного комиссариата о призыве на военную службу в указанный срок без уважительных причин либо к месту сбора для отправки в воинскую часть (причинение себе телесного повреждения, симуляция болезни, неявка на медицинское освидетельствование, отказ от получения повестки военного комиссариата, предоставление подложных документов для освобождения от призыва и др.).</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Указанные действия образуют состав преступления, предусмотренного ч.1 ст. 328 УК РФ, и влекут наказание в виде штрафа в размере до 200 тысяч рублей или в размере заработной платы (иного дохода) осужденного за период до 18 месяцев, либо принудительных работ на срок до 2 лет, либо ареста на срок до 6 месяцев, либо лишения свободы на срок до 2 лет.</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Если несение военной службы противоречит убеждениям или вероисповеданию гражданина, а также в иных установленных законом случаях, то человек имеет право на замену ее альтернативной гражданской службы.</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Альтернативная гражданская служба представляет собой особый вид трудовой деятельности в интересах общества и государства, может осуществляться индивидуально или в составе групп или формирований в организациях, подведомственных федеральным органом исполнительной власти и органам исполнительной власти субъектов РФ, а также в организациях вооруженных сил РФ.</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Уклонением в этом случае является неявка к месту прохождения указанной службы без уважительных причин или оставление места службы.</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За уклонение от прохождения альтернативной гражданской службы предусмотрена уголовная ответственность по ч. 2 ст. 328 УК РФ в виде штрафа в размере до 80 тысяч рублей или в размере заработной платы (иного дохода) осужденного за период до 6 месяцев, либо обязательных работ на срок до 480 часов, либо ареста на срок до 6 месяцев.</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Следует отметить, что данное преступление относится к категории небольшой тяжести, поэтому практика назначения уголовного наказания, как правило, ограничивается штрафом.</w:t>
      </w:r>
    </w:p>
    <w:p w:rsidR="00E87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Вместе с тем, даже назначение такого наказания однозначно влечет за собою негативные правовые последствия в виде судимости. В случае погашения (снятия) судимости, гражданин вновь подлежит призыву на военную или альтернативную гражданскую службу.</w:t>
      </w:r>
    </w:p>
    <w:p w:rsidR="00FF224C" w:rsidRDefault="00FF224C" w:rsidP="00FF224C">
      <w:pPr>
        <w:spacing w:after="0" w:line="240" w:lineRule="auto"/>
        <w:jc w:val="both"/>
        <w:rPr>
          <w:rFonts w:ascii="Times New Roman" w:hAnsi="Times New Roman" w:cs="Times New Roman"/>
          <w:sz w:val="24"/>
          <w:szCs w:val="24"/>
        </w:rPr>
      </w:pPr>
    </w:p>
    <w:p w:rsidR="00FF224C" w:rsidRDefault="00FF224C" w:rsidP="00FF22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850DD2" w:rsidRDefault="00850DD2" w:rsidP="00FF224C">
      <w:pPr>
        <w:spacing w:after="0" w:line="240" w:lineRule="auto"/>
        <w:jc w:val="both"/>
        <w:rPr>
          <w:rFonts w:ascii="Times New Roman" w:hAnsi="Times New Roman" w:cs="Times New Roman"/>
          <w:sz w:val="24"/>
          <w:szCs w:val="24"/>
        </w:rPr>
      </w:pPr>
    </w:p>
    <w:p w:rsidR="00850DD2" w:rsidRDefault="00850DD2" w:rsidP="00FF224C">
      <w:pPr>
        <w:spacing w:after="0" w:line="240" w:lineRule="auto"/>
        <w:jc w:val="both"/>
        <w:rPr>
          <w:rFonts w:ascii="Times New Roman" w:hAnsi="Times New Roman" w:cs="Times New Roman"/>
          <w:sz w:val="24"/>
          <w:szCs w:val="24"/>
        </w:rPr>
      </w:pPr>
    </w:p>
    <w:p w:rsidR="00850DD2" w:rsidRDefault="00850DD2" w:rsidP="00FF224C">
      <w:pPr>
        <w:spacing w:after="0" w:line="240" w:lineRule="auto"/>
        <w:jc w:val="both"/>
        <w:rPr>
          <w:rFonts w:ascii="Times New Roman" w:hAnsi="Times New Roman" w:cs="Times New Roman"/>
          <w:sz w:val="24"/>
          <w:szCs w:val="24"/>
        </w:rPr>
      </w:pPr>
    </w:p>
    <w:p w:rsidR="00850DD2" w:rsidRDefault="00850DD2" w:rsidP="00FF224C">
      <w:pPr>
        <w:spacing w:after="0" w:line="240" w:lineRule="auto"/>
        <w:jc w:val="both"/>
        <w:rPr>
          <w:rFonts w:ascii="Times New Roman" w:hAnsi="Times New Roman" w:cs="Times New Roman"/>
          <w:sz w:val="24"/>
          <w:szCs w:val="24"/>
        </w:rPr>
      </w:pPr>
    </w:p>
    <w:p w:rsidR="00850DD2" w:rsidRDefault="00850DD2" w:rsidP="00850DD2">
      <w:pPr>
        <w:spacing w:after="0" w:line="240" w:lineRule="auto"/>
        <w:ind w:firstLine="851"/>
        <w:jc w:val="center"/>
        <w:rPr>
          <w:rFonts w:ascii="Times New Roman" w:hAnsi="Times New Roman" w:cs="Times New Roman"/>
          <w:sz w:val="24"/>
          <w:szCs w:val="24"/>
        </w:rPr>
      </w:pPr>
      <w:r>
        <w:rPr>
          <w:rStyle w:val="a3"/>
          <w:rFonts w:ascii="Inter" w:hAnsi="Inter"/>
          <w:color w:val="212529"/>
          <w:shd w:val="clear" w:color="auto" w:fill="FFFFFF"/>
        </w:rPr>
        <w:lastRenderedPageBreak/>
        <w:t>Государственный и муниципальный контроль (надзор): новое в федеральном законодательстве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 21.09.2024 вступило в силу Постановление Правительства Российской Федерации от 11.09.2024 № 1234 «О внесении изменений в постановление Правительства Российской Федерации от 10.03.2022 № 336» (далее – Постановление № 1234), которое уточняет порядок проведения государственного и муниципального контроля (надзора).</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Согласно изменениям, проведение внепланового контрольного (надзорного) мероприятия в отношении юридических лиц и индивидуальных предпринимателей возможно также с согласия органов прокуратуры при выявлении факта ненаправления уведомления о начале осуществления предпринимательской деятельности.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Согласование проведения внепланового контрольного (надзорного) мероприятия с органами прокуратуры не требуется при поступлении информации о возможном нарушении обязательных требований в области транспортной безопасности, создающих угрозу обороне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Также Постановлением № 1234 предусмотрены особенности проведения отдельных мероприятий в период до 2030 года.</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Так,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учёта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Информация о данной проверке вносится в единый реестр контрольных (надзорных) мероприятий в течение 5 рабочих дней с момента начала соответствующей проверки.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Кроме того, до 2030 года при осуществлении контроля (надзора) за применением контрольно-кассовой техники, в том числе за полнотой учёта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850DD2" w:rsidRDefault="00850DD2" w:rsidP="00850DD2">
      <w:pPr>
        <w:spacing w:after="0" w:line="240" w:lineRule="auto"/>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b/>
          <w:sz w:val="24"/>
          <w:szCs w:val="24"/>
        </w:rPr>
        <w:lastRenderedPageBreak/>
        <w:t>Освобождение от уплаты</w:t>
      </w:r>
      <w:r w:rsidRPr="00850DD2">
        <w:rPr>
          <w:rFonts w:ascii="Times New Roman" w:hAnsi="Times New Roman" w:cs="Times New Roman"/>
          <w:sz w:val="24"/>
          <w:szCs w:val="24"/>
        </w:rPr>
        <w:t xml:space="preserve"> комиссионного вознаграждения при перечислении платы за жилое помещение</w:t>
      </w:r>
    </w:p>
    <w:p w:rsid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 01.07.2024 вступили в силу изменения, внесенные Федеральным законом от 19.12.2023 № 602-ФЗ в статью 155 Жилищного кодекса РФ, согласно которым платежный агент (за исключением организации федеральной почтовой связи), в том числе банковская организация, не вправе взимать комиссионное вознаграждение при перечислении платы за жилое помещение и коммунальные услуги, а также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Распоряжением Правительства РФ от 27.04.2024 № 1059-р определена категория граждан, которые освобождены от взимания вышеуказанной комиссии и пени: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лица старше 18 лет, входящие в состав многодетной семьи, получившей такой статус в соответствии с законодательством субъектов РФ;</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лица, получающие пенсию в соответствии с законодательством РФ;</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инвалиды, признанные таковыми в соответствии с законодательством РФ;</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ветераны боевых действий, признанные таковыми в соответствии с законодательством РФ;</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члены семей погибших (умерших) инвалидов войны, участников Великой Отечественной войны и ветеранов боевых действий, признанные таковыми в соответствии с законодательством РФ.</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b/>
          <w:sz w:val="24"/>
          <w:szCs w:val="24"/>
        </w:rPr>
      </w:pPr>
    </w:p>
    <w:p w:rsidR="00850DD2" w:rsidRPr="00850DD2" w:rsidRDefault="00850DD2" w:rsidP="00850DD2">
      <w:pPr>
        <w:spacing w:after="0" w:line="240" w:lineRule="auto"/>
        <w:ind w:firstLine="851"/>
        <w:jc w:val="both"/>
        <w:rPr>
          <w:rFonts w:ascii="Times New Roman" w:hAnsi="Times New Roman" w:cs="Times New Roman"/>
          <w:b/>
          <w:sz w:val="24"/>
          <w:szCs w:val="24"/>
        </w:rPr>
      </w:pPr>
      <w:r w:rsidRPr="00850DD2">
        <w:rPr>
          <w:rFonts w:ascii="Times New Roman" w:hAnsi="Times New Roman" w:cs="Times New Roman"/>
          <w:b/>
          <w:sz w:val="24"/>
          <w:szCs w:val="24"/>
        </w:rPr>
        <w:t>Изменения в законодательстве об образовании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01.05.2024 вступил в действие Федеральный закон от 14.04.2023 № 124-ФЗ, которым в Федеральный закон от 29.12.2012 № 273-ФЗ «Об образовании в Российской Федерации» введено понятие «целевое обучение», а также в новой редакции изложена статья 56 Федерального закона от 29.12.2012 № 273-ФЗ, регулирующая вопросы реализации прав граждан на получение образования на основании договора о целевом обучении по образовательным программам среднего профессионального и высшего образования.</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Указанной нормой закона в новой редакции расширен перечень заказчиков целевого обучения (заказчиком могут быть индивидуальные предприниматели).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Из существенных условий договора о целевом обучении исключены обязательства заказчика целевого обучения по организации учебной, производственной и преддипломной практики гражданина.</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Также в число существенных условий договора о целевом обучении включено обязательство гражданина по освоению образовательной программы, указанной в договоре о целевом обучении. Указанной обязанности корреспондировано право заказчика целевого обучения на получение из образовательной организации сведений орезультата освоения гражданином образовательной программы.</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Претерпели изменения и нормы, предусматривающие ответственность сторон, в случае уклонения от исполнения условий договора о целевом обучении.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Ранее при нарушении условий сделки гражданин возмещал заказчику расходы, связанные с предоставлением мер социальной поддержки в двойном размере. Теперь в таком случае он должен возместить заказчику целевого обучения в полном объеме расходы, связанные с предоставлением мер социальной поддержки, без каких-либо штрафных санкций.</w:t>
      </w:r>
    </w:p>
    <w:p w:rsidR="00850DD2" w:rsidRDefault="00850DD2" w:rsidP="00850DD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П</w:t>
      </w:r>
      <w:r w:rsidRPr="00850DD2">
        <w:rPr>
          <w:rFonts w:ascii="Times New Roman" w:hAnsi="Times New Roman" w:cs="Times New Roman"/>
          <w:sz w:val="24"/>
          <w:szCs w:val="24"/>
        </w:rPr>
        <w:t>ри этом ответственность заказчика изменена с двукратного размера меры социальной поддержки, до суммы, равной трехкратной величине 2 среднемесячной начисленной заработной платы в субъекте Российской Федерации, на территории которого должен был быть трудоустроен гражданин в соответствии с договором о целевом обучении.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center"/>
        <w:rPr>
          <w:rFonts w:ascii="Times New Roman" w:hAnsi="Times New Roman" w:cs="Times New Roman"/>
          <w:b/>
          <w:sz w:val="24"/>
          <w:szCs w:val="24"/>
        </w:rPr>
      </w:pPr>
      <w:r w:rsidRPr="00850DD2">
        <w:rPr>
          <w:rFonts w:ascii="Times New Roman" w:hAnsi="Times New Roman" w:cs="Times New Roman"/>
          <w:b/>
          <w:sz w:val="24"/>
          <w:szCs w:val="24"/>
        </w:rPr>
        <w:t>Гражданско-правовая ответственность подрядчиков (исполнителей) за неисполнение государственных и муниципальных контрактов</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В соответствии с ч. 4 ст.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(ч.6 ст. 34 Закона о контрактной системе).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(ч.7 ст. 34 Закона о контрактной системе).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(ч.8 ст. 34 закона о контрактной системе). </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Исполнение обязательств по контрактам может обеспечиваться, в числе прочего, независимой гарантией (ч.1 ст. 329 ГК РФ, ч.4 ст. 96 Закона о контрактной системе).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В случае неисполнения либо ненадлежащего исполнения своих обязательств подрядчиком (исполнителем) по контракту, заказчик вправе предъявить кредитной организации, выдавшей независимую гарантию подрядчику (исполнителю), требование об осуществлении уплаты денежной суммы по независимой гарантии, утвержденной постановлением Правительства от 08.11.2013 № 1005 форме (ст. 368 ГК РФ, ст. 45, 96 Закона о контрактной системе).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контрактом, включается в реестр недобросовестных поставщиков. (ч.2 ст. 104 Закона о контрактной системе). </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Для участника, поставщика (подрядчика, исполнителя) внесение в реестр недобросовестных поставщиков означает, что он сам, а также лица, указанные в п. п. 2, 3 ч. 3 ст. 104 Закона о контрактной системе, не смогут два года принимать участие в закупках, в которых установлен запрет на участие лиц, внесенных в реестр недобросовестных поставщиков (ч. 9 ст. 104 Закона о контрактной системе).</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lastRenderedPageBreak/>
        <w:t xml:space="preserve">         В случае, если неисполнение или ненадлежащее исполнение подрядчиком (исполнителем) контракта повлекло его досрочное прекращение и заказчик заключил взамен его аналогичный контракт, заказчик вправе потребовать от должника возмещения убытков в виде разницы между ценой, установленной в прекращенном контракте, и ценой на сопоставимые товары, работы или услуги по условиям контракта, заключенного взамен прекращенного контракта (ст.393.1 ГК РФ).</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ind w:firstLine="851"/>
        <w:jc w:val="both"/>
        <w:rPr>
          <w:rFonts w:ascii="Times New Roman" w:hAnsi="Times New Roman" w:cs="Times New Roman"/>
          <w:sz w:val="24"/>
          <w:szCs w:val="24"/>
        </w:rPr>
      </w:pPr>
    </w:p>
    <w:p w:rsidR="001F03E5" w:rsidRDefault="001F03E5" w:rsidP="00850DD2">
      <w:pPr>
        <w:spacing w:after="0" w:line="240" w:lineRule="auto"/>
        <w:ind w:firstLine="851"/>
        <w:jc w:val="both"/>
        <w:rPr>
          <w:rFonts w:ascii="Times New Roman" w:hAnsi="Times New Roman" w:cs="Times New Roman"/>
          <w:sz w:val="24"/>
          <w:szCs w:val="24"/>
        </w:rPr>
      </w:pPr>
    </w:p>
    <w:p w:rsidR="001F03E5" w:rsidRPr="00850DD2" w:rsidRDefault="001F03E5"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center"/>
        <w:rPr>
          <w:rFonts w:ascii="Times New Roman" w:hAnsi="Times New Roman" w:cs="Times New Roman"/>
          <w:b/>
          <w:sz w:val="24"/>
          <w:szCs w:val="24"/>
        </w:rPr>
      </w:pPr>
      <w:r w:rsidRPr="00850DD2">
        <w:rPr>
          <w:rFonts w:ascii="Times New Roman" w:hAnsi="Times New Roman" w:cs="Times New Roman"/>
          <w:b/>
          <w:sz w:val="24"/>
          <w:szCs w:val="24"/>
        </w:rPr>
        <w:t>Уголовная ответственность за незаконное приобретение или сбыт официальных документов и государственных наград</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Статьей 324 Уголовного кодекса РФ предусмотрена уголовная ответственность за незаконное приобретение или сбыт официальных документов и государственных наград.</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Под официальными документами понимаются документы, принятые органами государственной власти РФ, другими государственными органами РФ, органами государственной власти субъектов РФ, которые должны предоставлять права или освобождать от обязанностей, удостоверять юридически значимые факты и события и быть надлежаще оформлены. Например, к числу документов, предоставляющих определенное право, можно отнести диплом, удостоверение, аттестат, лицензию на занятие определенной деятельностью; к освобождающим от ряда обязанностей - пенсионное удостоверение.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Государственными наградами являются: звание Героя Российской Федерации, ордена, медали, знаки отличия Российской Федерации; почетные звания Российской Федерации.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К государственным наградам не относятся ученые звания и степени, классные чины, воинские звания.</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Предметом преступления являются только подлинные официальные документы и государственные награды.</w:t>
      </w:r>
    </w:p>
    <w:p w:rsid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За совершение указанного преступления предусмотрено наказание в виде штрафа, исправительных работ либо ареста на срок до 3 месяцев.</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850DD2" w:rsidRDefault="00850DD2" w:rsidP="00850DD2">
      <w:pPr>
        <w:spacing w:after="0" w:line="240" w:lineRule="auto"/>
        <w:ind w:firstLine="851"/>
        <w:jc w:val="both"/>
        <w:rPr>
          <w:rFonts w:ascii="Times New Roman" w:hAnsi="Times New Roman" w:cs="Times New Roman"/>
          <w:sz w:val="24"/>
          <w:szCs w:val="24"/>
        </w:rPr>
      </w:pPr>
    </w:p>
    <w:p w:rsidR="001F03E5" w:rsidRDefault="001F03E5" w:rsidP="00850DD2">
      <w:pPr>
        <w:spacing w:after="0" w:line="240" w:lineRule="auto"/>
        <w:ind w:firstLine="851"/>
        <w:jc w:val="both"/>
        <w:rPr>
          <w:rFonts w:ascii="Times New Roman" w:hAnsi="Times New Roman" w:cs="Times New Roman"/>
          <w:sz w:val="24"/>
          <w:szCs w:val="24"/>
        </w:rPr>
      </w:pPr>
    </w:p>
    <w:p w:rsidR="001F03E5" w:rsidRDefault="001F03E5" w:rsidP="00850DD2">
      <w:pPr>
        <w:spacing w:after="0" w:line="240" w:lineRule="auto"/>
        <w:ind w:firstLine="851"/>
        <w:jc w:val="both"/>
        <w:rPr>
          <w:rFonts w:ascii="Times New Roman" w:hAnsi="Times New Roman" w:cs="Times New Roman"/>
          <w:sz w:val="24"/>
          <w:szCs w:val="24"/>
        </w:rPr>
      </w:pPr>
    </w:p>
    <w:p w:rsidR="001F03E5" w:rsidRDefault="001F03E5" w:rsidP="00850DD2">
      <w:pPr>
        <w:spacing w:after="0" w:line="240" w:lineRule="auto"/>
        <w:ind w:firstLine="851"/>
        <w:jc w:val="both"/>
        <w:rPr>
          <w:rFonts w:ascii="Times New Roman" w:hAnsi="Times New Roman" w:cs="Times New Roman"/>
          <w:sz w:val="24"/>
          <w:szCs w:val="24"/>
        </w:rPr>
      </w:pPr>
    </w:p>
    <w:p w:rsidR="001F03E5" w:rsidRPr="00850DD2" w:rsidRDefault="001F03E5"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b/>
          <w:sz w:val="24"/>
          <w:szCs w:val="24"/>
        </w:rPr>
      </w:pPr>
      <w:r w:rsidRPr="00850DD2">
        <w:rPr>
          <w:rFonts w:ascii="Times New Roman" w:hAnsi="Times New Roman" w:cs="Times New Roman"/>
          <w:b/>
          <w:sz w:val="24"/>
          <w:szCs w:val="24"/>
        </w:rPr>
        <w:t>Поворот исполнения решения суда по гражданскому делу</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В соответствии со статьей 443 Гражданского процессуального кодекса Российской Федерации 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w:t>
      </w:r>
      <w:r w:rsidRPr="00850DD2">
        <w:rPr>
          <w:rFonts w:ascii="Times New Roman" w:hAnsi="Times New Roman" w:cs="Times New Roman"/>
          <w:sz w:val="24"/>
          <w:szCs w:val="24"/>
        </w:rPr>
        <w:lastRenderedPageBreak/>
        <w:t>взыскано в пользу истца по отмененному решению суда (поворот исполнения решения суда).</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Суд первой инстанции,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В том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 (статья 444 Гражданского процессуального кодекса Российской Федерации).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 (статья 445 Гражданского процессуального кодекса Российской Федерации).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При этом данной статьей предусмотрены исключения, когда поворот решения не допускается, если не будет доказано, что истцом сообщены ложные сведения или представлены подложные документы:</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о взыскании денежных сумм по требованиям, вытекающим из трудовых отношений;</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о взыскании алиментов;</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о возмещении вреда, причиненного увечьем или иным повреждением здоровья либо смертью кормильца.</w:t>
      </w:r>
    </w:p>
    <w:p w:rsidR="00850DD2" w:rsidRPr="00850DD2" w:rsidRDefault="00850DD2" w:rsidP="00850DD2">
      <w:pPr>
        <w:spacing w:after="0" w:line="240" w:lineRule="auto"/>
        <w:jc w:val="both"/>
        <w:rPr>
          <w:rFonts w:ascii="Times New Roman" w:hAnsi="Times New Roman" w:cs="Times New Roman"/>
          <w:sz w:val="24"/>
          <w:szCs w:val="24"/>
        </w:rPr>
      </w:pPr>
    </w:p>
    <w:p w:rsidR="00850DD2" w:rsidRDefault="00850DD2" w:rsidP="00FF224C">
      <w:pPr>
        <w:spacing w:after="0" w:line="240" w:lineRule="auto"/>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Pr="007A5D03" w:rsidRDefault="007A5D03" w:rsidP="007A5D03">
      <w:pPr>
        <w:shd w:val="clear" w:color="auto" w:fill="FFFFFF"/>
        <w:spacing w:after="0" w:line="240" w:lineRule="auto"/>
        <w:jc w:val="center"/>
        <w:rPr>
          <w:rFonts w:ascii="Times New Roman" w:eastAsia="Times New Roman" w:hAnsi="Times New Roman" w:cs="Times New Roman"/>
          <w:sz w:val="24"/>
          <w:szCs w:val="24"/>
          <w:lang w:eastAsia="ru-RU"/>
        </w:rPr>
      </w:pPr>
      <w:r w:rsidRPr="007A5D03">
        <w:rPr>
          <w:rFonts w:ascii="Times New Roman" w:eastAsia="Times New Roman" w:hAnsi="Times New Roman" w:cs="Times New Roman"/>
          <w:b/>
          <w:bCs/>
          <w:sz w:val="24"/>
          <w:szCs w:val="24"/>
          <w:lang w:eastAsia="ru-RU"/>
        </w:rPr>
        <w:t>Судебные госпошлины нужно уплачивать в повышенном размере с 9 сентября 2024 года</w:t>
      </w:r>
    </w:p>
    <w:p w:rsidR="007A5D03" w:rsidRPr="007A5D03" w:rsidRDefault="007A5D03" w:rsidP="007A5D03">
      <w:pPr>
        <w:shd w:val="clear" w:color="auto" w:fill="FFFFFF"/>
        <w:spacing w:after="0" w:line="240" w:lineRule="auto"/>
        <w:jc w:val="both"/>
        <w:rPr>
          <w:rFonts w:ascii="Times New Roman" w:eastAsia="Times New Roman" w:hAnsi="Times New Roman" w:cs="Times New Roman"/>
          <w:i/>
          <w:iCs/>
          <w:sz w:val="24"/>
          <w:szCs w:val="24"/>
          <w:lang w:eastAsia="ru-RU"/>
        </w:rPr>
      </w:pPr>
    </w:p>
    <w:p w:rsidR="007A5D03" w:rsidRPr="007A5D03" w:rsidRDefault="007A5D03" w:rsidP="007A5D03">
      <w:pPr>
        <w:shd w:val="clear" w:color="auto" w:fill="FFFFFF"/>
        <w:spacing w:after="0" w:line="240" w:lineRule="auto"/>
        <w:jc w:val="both"/>
        <w:rPr>
          <w:rFonts w:ascii="Times New Roman" w:eastAsia="Times New Roman" w:hAnsi="Times New Roman" w:cs="Times New Roman"/>
          <w:sz w:val="24"/>
          <w:szCs w:val="24"/>
          <w:lang w:eastAsia="ru-RU"/>
        </w:rPr>
      </w:pPr>
      <w:r w:rsidRPr="007A5D03">
        <w:rPr>
          <w:rFonts w:ascii="Times New Roman" w:eastAsia="Times New Roman" w:hAnsi="Times New Roman" w:cs="Times New Roman"/>
          <w:sz w:val="24"/>
          <w:szCs w:val="24"/>
          <w:lang w:eastAsia="ru-RU"/>
        </w:rPr>
        <w:t>Значительно увеличили платежи, которые нужно вносить при подаче в арбитражные суды и СОЮ имущественных исков. То же коснулось пошлин по заявлениям о признании незаконными решений госорганов, по искам о заключении, изменении или расторжении договоров, по жалобам в вышестоящие инстанции и пр.</w:t>
      </w:r>
    </w:p>
    <w:p w:rsidR="007A5D03" w:rsidRDefault="007A5D03" w:rsidP="007A5D03">
      <w:pPr>
        <w:shd w:val="clear" w:color="auto" w:fill="FFFFFF"/>
        <w:spacing w:after="0" w:line="240" w:lineRule="auto"/>
        <w:jc w:val="both"/>
        <w:rPr>
          <w:rFonts w:ascii="Times New Roman" w:eastAsia="Times New Roman" w:hAnsi="Times New Roman" w:cs="Times New Roman"/>
          <w:sz w:val="24"/>
          <w:szCs w:val="24"/>
          <w:lang w:eastAsia="ru-RU"/>
        </w:rPr>
      </w:pPr>
      <w:r w:rsidRPr="007A5D03">
        <w:rPr>
          <w:rFonts w:ascii="Times New Roman" w:eastAsia="Times New Roman" w:hAnsi="Times New Roman" w:cs="Times New Roman"/>
          <w:sz w:val="24"/>
          <w:szCs w:val="24"/>
          <w:lang w:eastAsia="ru-RU"/>
        </w:rPr>
        <w:t>Новшества вступили в силу </w:t>
      </w:r>
      <w:hyperlink r:id="rId4" w:history="1">
        <w:r w:rsidRPr="007A5D03">
          <w:rPr>
            <w:rFonts w:ascii="Times New Roman" w:eastAsia="Times New Roman" w:hAnsi="Times New Roman" w:cs="Times New Roman"/>
            <w:sz w:val="24"/>
            <w:szCs w:val="24"/>
            <w:lang w:eastAsia="ru-RU"/>
          </w:rPr>
          <w:t>8 сентября</w:t>
        </w:r>
      </w:hyperlink>
      <w:r w:rsidRPr="007A5D03">
        <w:rPr>
          <w:rFonts w:ascii="Times New Roman" w:eastAsia="Times New Roman" w:hAnsi="Times New Roman" w:cs="Times New Roman"/>
          <w:sz w:val="24"/>
          <w:szCs w:val="24"/>
          <w:lang w:eastAsia="ru-RU"/>
        </w:rPr>
        <w:t>. Однако их применяют к делам, возбужденным по заявлениям и жалобам, которые направляют </w:t>
      </w:r>
      <w:hyperlink r:id="rId5" w:history="1">
        <w:r w:rsidRPr="007A5D03">
          <w:rPr>
            <w:rFonts w:ascii="Times New Roman" w:eastAsia="Times New Roman" w:hAnsi="Times New Roman" w:cs="Times New Roman"/>
            <w:sz w:val="24"/>
            <w:szCs w:val="24"/>
            <w:lang w:eastAsia="ru-RU"/>
          </w:rPr>
          <w:t>с 9 сентября</w:t>
        </w:r>
      </w:hyperlink>
      <w:r w:rsidRPr="007A5D03">
        <w:rPr>
          <w:rFonts w:ascii="Times New Roman" w:eastAsia="Times New Roman" w:hAnsi="Times New Roman" w:cs="Times New Roman"/>
          <w:sz w:val="24"/>
          <w:szCs w:val="24"/>
          <w:lang w:eastAsia="ru-RU"/>
        </w:rPr>
        <w:t>. Госпошлины при подаче по ГПК РФ и КАС РФ имущественных исков, которые подлежат оценке, тоже изменились.</w:t>
      </w:r>
    </w:p>
    <w:tbl>
      <w:tblPr>
        <w:tblpPr w:leftFromText="180" w:rightFromText="180" w:vertAnchor="text" w:horzAnchor="margin" w:tblpY="108"/>
        <w:tblW w:w="9640" w:type="dxa"/>
        <w:shd w:val="clear" w:color="auto" w:fill="FFFFFF"/>
        <w:tblCellMar>
          <w:left w:w="0" w:type="dxa"/>
          <w:right w:w="0" w:type="dxa"/>
        </w:tblCellMar>
        <w:tblLook w:val="04A0"/>
      </w:tblPr>
      <w:tblGrid>
        <w:gridCol w:w="4551"/>
        <w:gridCol w:w="5089"/>
      </w:tblGrid>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2CC"/>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Цена иска, руб.</w:t>
            </w:r>
          </w:p>
        </w:tc>
        <w:tc>
          <w:tcPr>
            <w:tcW w:w="5089" w:type="dxa"/>
            <w:tcBorders>
              <w:top w:val="single" w:sz="2" w:space="0" w:color="auto"/>
              <w:left w:val="single" w:sz="2" w:space="0" w:color="auto"/>
              <w:bottom w:val="single" w:sz="2" w:space="0" w:color="auto"/>
              <w:right w:val="single" w:sz="2" w:space="0" w:color="auto"/>
            </w:tcBorders>
            <w:shd w:val="clear" w:color="auto" w:fill="FFF2CC"/>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Новые размеры госпошлины, руб.</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До 100 тыс.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6" w:history="1">
              <w:r w:rsidR="007A5D03" w:rsidRPr="007A5D03">
                <w:rPr>
                  <w:rFonts w:ascii="Arial" w:eastAsia="Times New Roman" w:hAnsi="Arial" w:cs="Arial"/>
                  <w:lang w:eastAsia="ru-RU"/>
                </w:rPr>
                <w:t>4000</w:t>
              </w:r>
            </w:hyperlink>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100 тыс. до 300 тыс.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7" w:history="1">
              <w:r w:rsidR="007A5D03" w:rsidRPr="007A5D03">
                <w:rPr>
                  <w:rFonts w:ascii="Arial" w:eastAsia="Times New Roman" w:hAnsi="Arial" w:cs="Arial"/>
                  <w:lang w:eastAsia="ru-RU"/>
                </w:rPr>
                <w:t>4000 плюс 3%</w:t>
              </w:r>
            </w:hyperlink>
            <w:r w:rsidR="007A5D03" w:rsidRPr="007A5D03">
              <w:rPr>
                <w:rFonts w:ascii="Arial" w:eastAsia="Times New Roman" w:hAnsi="Arial" w:cs="Arial"/>
                <w:lang w:eastAsia="ru-RU"/>
              </w:rPr>
              <w:t> от суммы свыше 100 тыс.</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300 тыс. до 500 тыс.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8" w:history="1">
              <w:r w:rsidR="007A5D03" w:rsidRPr="007A5D03">
                <w:rPr>
                  <w:rFonts w:ascii="Arial" w:eastAsia="Times New Roman" w:hAnsi="Arial" w:cs="Arial"/>
                  <w:lang w:eastAsia="ru-RU"/>
                </w:rPr>
                <w:t>10 тыс. плюс 2,5%</w:t>
              </w:r>
            </w:hyperlink>
            <w:r w:rsidR="007A5D03" w:rsidRPr="007A5D03">
              <w:rPr>
                <w:rFonts w:ascii="Arial" w:eastAsia="Times New Roman" w:hAnsi="Arial" w:cs="Arial"/>
                <w:lang w:eastAsia="ru-RU"/>
              </w:rPr>
              <w:t> от суммы свыше 300 тыс.</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500 тыс. до 1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9" w:history="1">
              <w:r w:rsidR="007A5D03" w:rsidRPr="007A5D03">
                <w:rPr>
                  <w:rFonts w:ascii="Arial" w:eastAsia="Times New Roman" w:hAnsi="Arial" w:cs="Arial"/>
                  <w:lang w:eastAsia="ru-RU"/>
                </w:rPr>
                <w:t>15 тыс. плюс 2%</w:t>
              </w:r>
            </w:hyperlink>
            <w:r w:rsidR="007A5D03" w:rsidRPr="007A5D03">
              <w:rPr>
                <w:rFonts w:ascii="Arial" w:eastAsia="Times New Roman" w:hAnsi="Arial" w:cs="Arial"/>
                <w:lang w:eastAsia="ru-RU"/>
              </w:rPr>
              <w:t> от суммы свыше 500 тыс.</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1 млн до 3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10" w:history="1">
              <w:r w:rsidR="007A5D03" w:rsidRPr="007A5D03">
                <w:rPr>
                  <w:rFonts w:ascii="Arial" w:eastAsia="Times New Roman" w:hAnsi="Arial" w:cs="Arial"/>
                  <w:lang w:eastAsia="ru-RU"/>
                </w:rPr>
                <w:t>25 тыс. плюс 1%</w:t>
              </w:r>
            </w:hyperlink>
            <w:r w:rsidR="007A5D03" w:rsidRPr="007A5D03">
              <w:rPr>
                <w:rFonts w:ascii="Arial" w:eastAsia="Times New Roman" w:hAnsi="Arial" w:cs="Arial"/>
                <w:lang w:eastAsia="ru-RU"/>
              </w:rPr>
              <w:t> от суммы свыше 1 млн</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3 млн до 8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11" w:history="1">
              <w:r w:rsidR="007A5D03" w:rsidRPr="007A5D03">
                <w:rPr>
                  <w:rFonts w:ascii="Arial" w:eastAsia="Times New Roman" w:hAnsi="Arial" w:cs="Arial"/>
                  <w:lang w:eastAsia="ru-RU"/>
                </w:rPr>
                <w:t>45 тыс. плюс 0,7%</w:t>
              </w:r>
            </w:hyperlink>
            <w:r w:rsidR="007A5D03" w:rsidRPr="007A5D03">
              <w:rPr>
                <w:rFonts w:ascii="Arial" w:eastAsia="Times New Roman" w:hAnsi="Arial" w:cs="Arial"/>
                <w:lang w:eastAsia="ru-RU"/>
              </w:rPr>
              <w:t> от суммы свыше 3 млн</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8 млн до 24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12" w:history="1">
              <w:r w:rsidR="007A5D03" w:rsidRPr="007A5D03">
                <w:rPr>
                  <w:rFonts w:ascii="Arial" w:eastAsia="Times New Roman" w:hAnsi="Arial" w:cs="Arial"/>
                  <w:lang w:eastAsia="ru-RU"/>
                </w:rPr>
                <w:t>80 тыс. плюс 0,35%</w:t>
              </w:r>
            </w:hyperlink>
            <w:r w:rsidR="007A5D03" w:rsidRPr="007A5D03">
              <w:rPr>
                <w:rFonts w:ascii="Arial" w:eastAsia="Times New Roman" w:hAnsi="Arial" w:cs="Arial"/>
                <w:lang w:eastAsia="ru-RU"/>
              </w:rPr>
              <w:t> от суммы свыше 8 млн</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24 млн до 50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13" w:history="1">
              <w:r w:rsidR="007A5D03" w:rsidRPr="007A5D03">
                <w:rPr>
                  <w:rFonts w:ascii="Arial" w:eastAsia="Times New Roman" w:hAnsi="Arial" w:cs="Arial"/>
                  <w:lang w:eastAsia="ru-RU"/>
                </w:rPr>
                <w:t>136 тыс. плюс 0,3%</w:t>
              </w:r>
            </w:hyperlink>
            <w:r w:rsidR="007A5D03" w:rsidRPr="007A5D03">
              <w:rPr>
                <w:rFonts w:ascii="Arial" w:eastAsia="Times New Roman" w:hAnsi="Arial" w:cs="Arial"/>
                <w:lang w:eastAsia="ru-RU"/>
              </w:rPr>
              <w:t> от суммы свыше 24 млн</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50 млн до 100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77946" w:rsidP="007A5D03">
            <w:pPr>
              <w:spacing w:after="0" w:line="240" w:lineRule="auto"/>
              <w:jc w:val="both"/>
              <w:rPr>
                <w:rFonts w:ascii="Arial" w:eastAsia="Times New Roman" w:hAnsi="Arial" w:cs="Arial"/>
                <w:lang w:eastAsia="ru-RU"/>
              </w:rPr>
            </w:pPr>
            <w:hyperlink r:id="rId14" w:history="1">
              <w:r w:rsidR="007A5D03" w:rsidRPr="007A5D03">
                <w:rPr>
                  <w:rFonts w:ascii="Arial" w:eastAsia="Times New Roman" w:hAnsi="Arial" w:cs="Arial"/>
                  <w:lang w:eastAsia="ru-RU"/>
                </w:rPr>
                <w:t>214 тыс. плюс 0,2%</w:t>
              </w:r>
            </w:hyperlink>
            <w:r w:rsidR="007A5D03" w:rsidRPr="007A5D03">
              <w:rPr>
                <w:rFonts w:ascii="Arial" w:eastAsia="Times New Roman" w:hAnsi="Arial" w:cs="Arial"/>
                <w:lang w:eastAsia="ru-RU"/>
              </w:rPr>
              <w:t> от суммы свыше 50 млн</w:t>
            </w:r>
          </w:p>
        </w:tc>
      </w:tr>
      <w:tr w:rsidR="007A5D03" w:rsidRPr="007A5D03" w:rsidTr="007A5D03">
        <w:trPr>
          <w:trHeight w:val="587"/>
        </w:trPr>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100 млн</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Default="00777946" w:rsidP="007A5D03">
            <w:pPr>
              <w:spacing w:after="0" w:line="240" w:lineRule="auto"/>
              <w:jc w:val="both"/>
              <w:rPr>
                <w:rFonts w:ascii="Arial" w:eastAsia="Times New Roman" w:hAnsi="Arial" w:cs="Arial"/>
                <w:lang w:eastAsia="ru-RU"/>
              </w:rPr>
            </w:pPr>
            <w:hyperlink r:id="rId15" w:history="1">
              <w:r w:rsidR="007A5D03" w:rsidRPr="007A5D03">
                <w:rPr>
                  <w:rFonts w:ascii="Arial" w:eastAsia="Times New Roman" w:hAnsi="Arial" w:cs="Arial"/>
                  <w:lang w:eastAsia="ru-RU"/>
                </w:rPr>
                <w:t>314 тыс. плюс 0,15%</w:t>
              </w:r>
            </w:hyperlink>
            <w:r w:rsidR="007A5D03" w:rsidRPr="007A5D03">
              <w:rPr>
                <w:rFonts w:ascii="Arial" w:eastAsia="Times New Roman" w:hAnsi="Arial" w:cs="Arial"/>
                <w:lang w:eastAsia="ru-RU"/>
              </w:rPr>
              <w:t xml:space="preserve"> от суммы свыше 100 млн, </w:t>
            </w:r>
          </w:p>
          <w:p w:rsidR="007A5D03" w:rsidRPr="007A5D03" w:rsidRDefault="007A5D03" w:rsidP="007A5D03">
            <w:pPr>
              <w:spacing w:after="0" w:line="240" w:lineRule="auto"/>
              <w:jc w:val="both"/>
              <w:rPr>
                <w:rFonts w:ascii="Arial" w:eastAsia="Times New Roman" w:hAnsi="Arial" w:cs="Arial"/>
                <w:lang w:eastAsia="ru-RU"/>
              </w:rPr>
            </w:pPr>
            <w:r w:rsidRPr="007A5D03">
              <w:rPr>
                <w:rFonts w:ascii="Arial" w:eastAsia="Times New Roman" w:hAnsi="Arial" w:cs="Arial"/>
                <w:lang w:eastAsia="ru-RU"/>
              </w:rPr>
              <w:t>но не более 900 тыс.</w:t>
            </w:r>
          </w:p>
        </w:tc>
      </w:tr>
    </w:tbl>
    <w:p w:rsidR="007A5D03" w:rsidRPr="007A5D03" w:rsidRDefault="007A5D03" w:rsidP="007A5D03">
      <w:pPr>
        <w:shd w:val="clear" w:color="auto" w:fill="FFFFFF"/>
        <w:spacing w:after="0" w:line="240" w:lineRule="auto"/>
        <w:jc w:val="both"/>
        <w:rPr>
          <w:rFonts w:ascii="Inter" w:eastAsia="Times New Roman" w:hAnsi="Inter" w:cs="Times New Roman"/>
          <w:color w:val="212529"/>
          <w:sz w:val="24"/>
          <w:szCs w:val="24"/>
          <w:lang w:eastAsia="ru-RU"/>
        </w:rPr>
      </w:pPr>
      <w:r w:rsidRPr="007A5D03">
        <w:rPr>
          <w:rFonts w:ascii="Inter" w:eastAsia="Times New Roman" w:hAnsi="Inter" w:cs="Times New Roman"/>
          <w:color w:val="212529"/>
          <w:sz w:val="24"/>
          <w:szCs w:val="24"/>
          <w:lang w:eastAsia="ru-RU"/>
        </w:rPr>
        <w:t> </w:t>
      </w:r>
    </w:p>
    <w:p w:rsidR="001F03E5" w:rsidRDefault="001F03E5" w:rsidP="001F03E5">
      <w:pPr>
        <w:spacing w:after="0" w:line="240" w:lineRule="auto"/>
        <w:jc w:val="both"/>
        <w:rPr>
          <w:rFonts w:ascii="Times New Roman" w:hAnsi="Times New Roman" w:cs="Times New Roman"/>
          <w:sz w:val="24"/>
          <w:szCs w:val="24"/>
        </w:rPr>
      </w:pPr>
    </w:p>
    <w:p w:rsidR="00850DD2" w:rsidRDefault="001F03E5" w:rsidP="001F03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З.А.Айланматов</w:t>
      </w:r>
    </w:p>
    <w:p w:rsidR="002C673A" w:rsidRDefault="002C673A" w:rsidP="001F03E5">
      <w:pPr>
        <w:spacing w:after="0" w:line="240" w:lineRule="auto"/>
        <w:jc w:val="both"/>
        <w:rPr>
          <w:rFonts w:ascii="Times New Roman" w:hAnsi="Times New Roman" w:cs="Times New Roman"/>
          <w:sz w:val="24"/>
          <w:szCs w:val="24"/>
        </w:rPr>
      </w:pPr>
    </w:p>
    <w:p w:rsidR="002C673A" w:rsidRDefault="002C673A" w:rsidP="001F03E5">
      <w:pPr>
        <w:spacing w:after="0" w:line="240" w:lineRule="auto"/>
        <w:jc w:val="both"/>
        <w:rPr>
          <w:rFonts w:ascii="Times New Roman" w:hAnsi="Times New Roman" w:cs="Times New Roman"/>
          <w:sz w:val="24"/>
          <w:szCs w:val="24"/>
        </w:rPr>
      </w:pPr>
    </w:p>
    <w:p w:rsidR="002C673A" w:rsidRPr="00C356DF" w:rsidRDefault="002C673A" w:rsidP="002C673A">
      <w:pPr>
        <w:pStyle w:val="rtecenter"/>
        <w:shd w:val="clear" w:color="auto" w:fill="FFFFFF"/>
        <w:spacing w:before="0" w:beforeAutospacing="0" w:after="0" w:afterAutospacing="0"/>
        <w:jc w:val="center"/>
        <w:rPr>
          <w:color w:val="212529"/>
        </w:rPr>
      </w:pPr>
      <w:r w:rsidRPr="00C356DF">
        <w:rPr>
          <w:rStyle w:val="a3"/>
          <w:color w:val="212529"/>
        </w:rPr>
        <w:t>Меры государственной поддержки в сфере занятости инвалидов</w:t>
      </w:r>
    </w:p>
    <w:p w:rsidR="002C673A" w:rsidRPr="00C356DF" w:rsidRDefault="002C673A" w:rsidP="002C673A">
      <w:pPr>
        <w:pStyle w:val="a4"/>
        <w:shd w:val="clear" w:color="auto" w:fill="FFFFFF"/>
        <w:spacing w:before="0" w:beforeAutospacing="0" w:after="0" w:afterAutospacing="0"/>
        <w:jc w:val="both"/>
        <w:rPr>
          <w:color w:val="212529"/>
        </w:rPr>
      </w:pPr>
      <w:r w:rsidRPr="00C356DF">
        <w:rPr>
          <w:color w:val="212529"/>
        </w:rPr>
        <w:t> </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С 1 сентября 2024 года вступят в силу положения Федерального закона от 12.12.2023 № 565-ФЗ «О занятости населения в Российской Федерации», касающиеся содействия занятости инвалидов.</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Так, данные положения касаются предоставления мер государственной поддержки в сфере занятости населения, в том числе путем осуществления следующих специальных мероприятий:</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1) установление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Право устанавливать квоты для работодателей, у которых трудятся более 35 человек, в размере от 2% до 4% от среднесписочной численности персонала будет представлено органам государственной власти соответствующих субъектов Российской Федерации.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опасным условиям труда по результатам специальной оценки условий труда;</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 xml:space="preserve">2) стимулирование создания работодателями дополнительных рабочих мест (в том числе специальных) для трудоустройства инвалидов, а именно рабочих мест, требующих дополнительных мер по организации труда, включая адаптацию основного и вспомогательного оборудования, технического и организационного оснащения, </w:t>
      </w:r>
      <w:r w:rsidRPr="00C356DF">
        <w:rPr>
          <w:color w:val="212529"/>
        </w:rPr>
        <w:lastRenderedPageBreak/>
        <w:t>дополнительного оснащения и обеспечения техническими приспособлениями с учетом индивидуальных возможностей инвалидов;</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3) создание инвалидам условий труда в соответствии с индивидуальными программами реабилитации или абилитации инвалидов.</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Работодатели обязаны создавать инвалидам, принятым на работу, необходимые условия труда в соответствии с индивидуальной программой реабилитации или абилитации инвалида;</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4) сопровождение при содействии занятости инвалидов, а именно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5) создание условий для осуществления инвалидами предпринимательской деятельности;</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2C673A" w:rsidRDefault="002C673A" w:rsidP="002C673A">
      <w:pPr>
        <w:pStyle w:val="a4"/>
        <w:shd w:val="clear" w:color="auto" w:fill="FFFFFF"/>
        <w:spacing w:before="0" w:beforeAutospacing="0" w:after="0" w:afterAutospacing="0"/>
        <w:ind w:firstLine="709"/>
        <w:jc w:val="both"/>
        <w:rPr>
          <w:rFonts w:ascii="Inter" w:hAnsi="Inter"/>
          <w:color w:val="212529"/>
        </w:rPr>
      </w:pPr>
    </w:p>
    <w:p w:rsidR="002C673A" w:rsidRDefault="002C673A" w:rsidP="002C67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2C673A" w:rsidRDefault="002C673A" w:rsidP="002C673A">
      <w:pPr>
        <w:spacing w:after="0" w:line="240" w:lineRule="auto"/>
        <w:jc w:val="both"/>
        <w:rPr>
          <w:rFonts w:ascii="Times New Roman" w:hAnsi="Times New Roman" w:cs="Times New Roman"/>
          <w:sz w:val="24"/>
          <w:szCs w:val="24"/>
        </w:rPr>
      </w:pPr>
    </w:p>
    <w:p w:rsidR="00C356DF" w:rsidRPr="00C356DF" w:rsidRDefault="00C356DF" w:rsidP="00C356DF">
      <w:pPr>
        <w:pStyle w:val="rtecenter"/>
        <w:shd w:val="clear" w:color="auto" w:fill="FFFFFF"/>
        <w:spacing w:before="0" w:beforeAutospacing="0" w:after="0" w:afterAutospacing="0"/>
        <w:ind w:firstLine="426"/>
        <w:jc w:val="center"/>
        <w:rPr>
          <w:color w:val="212529"/>
        </w:rPr>
      </w:pPr>
      <w:r w:rsidRPr="00C356DF">
        <w:rPr>
          <w:rStyle w:val="a3"/>
          <w:color w:val="212529"/>
        </w:rPr>
        <w:t>Обжалование  постановления по делу об административном правонарушении после истечения срока</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В соответствии с ч.1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В случае пропуска срока, предусмотренного частью 1 ст.30.3 КоАП РФ, указанный срок по ходатайству лица, подающего жалобу, может быть восстановлен судьей или должностным лицом, правомочным рассматривать жалобу.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Ходатайство должно содержать указание на причины пропуска срока обжалования постановления по делу об административном правонарушении.</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Уважительными причинами могут быть признаны обстоятельства, которые объективно препятствовали или исключали своевременную подачу жалобы, например, нахождение лица на лечении в медицинском учреждении, применение к лицу изоляционных мер различного характера в порядке, предусмотренном законодательством в области обеспечения санитарно-эпидемиологического благополучия населения или мер ограничительного характера, примененных в соответствии с законодательством о защите населения и территорий от чрезвычайных ситуаций природного и техногенного характера.</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Однако необходимо учитывать, что уважительность причины пропуска срока обжалования должна быть подтверждена соответствующими доказательствами, в противном случае, суд может отказать в восстановлении процессуального срока.</w:t>
      </w:r>
    </w:p>
    <w:p w:rsidR="00C356DF" w:rsidRPr="00C356DF" w:rsidRDefault="00C356DF" w:rsidP="00C356DF">
      <w:pPr>
        <w:pStyle w:val="a4"/>
        <w:shd w:val="clear" w:color="auto" w:fill="FFFFFF"/>
        <w:spacing w:before="0" w:beforeAutospacing="0" w:after="0" w:afterAutospacing="0"/>
        <w:ind w:firstLine="426"/>
        <w:jc w:val="both"/>
        <w:rPr>
          <w:color w:val="212529"/>
        </w:rPr>
      </w:pPr>
    </w:p>
    <w:p w:rsidR="00C356DF" w:rsidRDefault="00C356DF" w:rsidP="00C35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2C673A" w:rsidRDefault="002C673A" w:rsidP="002C673A">
      <w:pPr>
        <w:spacing w:after="0" w:line="240" w:lineRule="auto"/>
        <w:ind w:firstLine="709"/>
        <w:jc w:val="both"/>
        <w:rPr>
          <w:rFonts w:ascii="Times New Roman" w:hAnsi="Times New Roman" w:cs="Times New Roman"/>
          <w:sz w:val="24"/>
          <w:szCs w:val="24"/>
        </w:rPr>
      </w:pPr>
    </w:p>
    <w:p w:rsidR="009130E8" w:rsidRDefault="009130E8" w:rsidP="002C673A">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lastRenderedPageBreak/>
        <w:t>С 1 сентября 2024 года будет действовать новый порядок выполнения работодателями квоты для приема на работу инвалидов</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Расчет квоты будет производиться не ежегодно, а ежеквартально, до 10 числа месяца, который следует за отчетным кварталом.</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При этом выполнение работодателем квоты для приема на работу инвалидов обеспечивается в случаях наличия: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 (далее также - соглашение);</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заключенного трудового договора между инвалидом и ИП, заключившим соглашение;</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ИП, заключенного трудового договора между инвалидом и иной организацией, ИП.</w:t>
      </w:r>
    </w:p>
    <w:p w:rsid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Постановлением Правительства РФ также установлен перечень случаев, когда работодатель освобождается от выполнения установленной квоты для приема на работу инвалидов; предусмотрен порядок заключения соглашения о трудоустройстве инвалидов и форма соглашения с иной организацией о трудоустройстве инвалидов, если работодатель не создает рабочие места у себя.</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b/>
          <w:sz w:val="24"/>
          <w:szCs w:val="24"/>
        </w:rPr>
      </w:pPr>
      <w:r w:rsidRPr="009130E8">
        <w:rPr>
          <w:rFonts w:ascii="Times New Roman" w:hAnsi="Times New Roman" w:cs="Times New Roman"/>
          <w:b/>
          <w:sz w:val="24"/>
          <w:szCs w:val="24"/>
        </w:rPr>
        <w:t>Разъяснение административного законодательства</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Федеральным законом от 22.07.2024 N 192-ФЗ «О внесении изменений в Кодекс Российской Федерации об административных правонарушениях» изменен ряд положений административного законодательства.</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Так, с 21 октября 2024 года полиция не сможет оформлять протоколы о невыполнении или грубом несоблюдении требований и условий лицензии либо иного разрешения. Это не коснется данных нарушений в сфере безопасности дорожного движения. Также из компетенции полиции исключат составление, в частности, протоколов:</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самовольном занятии земельного или лесного участка;</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несоблюдении законодательства об охране объектов культурного наследия;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сокрытии либо искажении экологической информации;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незаконном использовании средств индивидуализации товаров, работ или услуг;</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производстве либо обороте этилового спирта, алкогольной и спиртосодержащей продукции с нарушением лицензионных требований.</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Закон устранит дублирование полномочий полиции и прочих госорганов.</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Указанные изменения вступят в силу с 21.10.2024.</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lastRenderedPageBreak/>
        <w:t>С 1 сентября 2024 года вступ</w:t>
      </w:r>
      <w:r>
        <w:rPr>
          <w:rFonts w:ascii="Times New Roman" w:hAnsi="Times New Roman" w:cs="Times New Roman"/>
          <w:sz w:val="24"/>
          <w:szCs w:val="24"/>
        </w:rPr>
        <w:t>ил</w:t>
      </w:r>
      <w:r w:rsidRPr="009130E8">
        <w:rPr>
          <w:rFonts w:ascii="Times New Roman" w:hAnsi="Times New Roman" w:cs="Times New Roman"/>
          <w:sz w:val="24"/>
          <w:szCs w:val="24"/>
        </w:rPr>
        <w:t xml:space="preserve"> в силу закон об унификации норм гражданского процессуального законодательства</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Федеральным законом от 12.06.2024 № 135-ФЗ внесены изменения в Гражданский процессуальный кодекс Российской Федерации, которые начнут действовать с 01.09.2024.</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Законом, в числе прочего, закреплена возможность предъявления исков, связанных с социальными выплатами и льготами, в суд по месту жительства истца.</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Взыскатель будет обязан направить должнику копии заявления о вынесении судебного приказа и приложений к нему. При подаче заявления к нему потребуется приложить в том числе уведомление о вручении или другие документы, которые подтверждают передачу этих копий должнику, а также документ об уплате госпошлины.</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Срок вынесения судебного приказа составит 10 рабочих дней с даты, когда заявление поступит в суд.</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По упрощенной процедуре суды будут рассматривать дела о взыскании денег или об истребовании имущества, если цена иска не более 250 тыс. руб. Исключение - дела приказного производства. Сейчас максимальная сумма - 100 тыс. руб.</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Изменения коснутся и содержания протокола судебного заседания. Список сведений, которые подлежат включению в письменный протокол заседания сократиться. Из действующего перечня в новый не вошли, в частности: объяснения участников дела и их представителей; показания свидетелей и разъяснения экспертами своих заключений; информация об оглашении письменных доказательств; данные осмотра вещественных доказательств, прослушивания аудио и просмотра видео; содержание судебных прений и заключений прокурора и представителей органов власти.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Перечисленные данные будут указываться только в протоколе закрытого заседания.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С 5 до 10 дней увеличены сроки, на которые может быть отложено составление мотивированного решения суда (в том числе мирового судьи), а также срок вынесения судебного приказа.</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 мотивированном решении суда, мотивированных апелляционном и кассационном определениях будет указываться дата их изготовления.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Аудиопротоколирование не будет вестись при рассмотрении дела в закрытом судебном заседании,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 случае, если судебное постановление было обжаловано в суд апелляционной инстанции, трехмесячный срок подачи кассационных жалобы, представления в кассационный суд общей юрисдикции будет исчисляться со дня изготовления мотивированного апелляционного определения.</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b/>
          <w:sz w:val="24"/>
          <w:szCs w:val="24"/>
        </w:rPr>
      </w:pPr>
      <w:r w:rsidRPr="009130E8">
        <w:rPr>
          <w:rFonts w:ascii="Times New Roman" w:hAnsi="Times New Roman" w:cs="Times New Roman"/>
          <w:b/>
          <w:sz w:val="24"/>
          <w:szCs w:val="24"/>
        </w:rPr>
        <w:t>Утвержден порядок размещения дорожных видеокамер</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Правила размещения стационарных средств фиксации, передвижных средств фиксации или мобильных средств фиксации закреплены в постановлении Правительства Российской Федерации от 01.06.2024 № 754.</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Они содержат требования к обязательному информированию участников дорожного движения о местах размещения таких устройств, определяют допустимые места установки стационарных и передвижных видеокамер.</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lastRenderedPageBreak/>
        <w:t>Например, к ним относятся: аварийно-опасные участки дорог; пешеходные переходы; перекрестки; места, где запрещена стоянка либо остановка транспортных средств, а также иные места, определяемые при осуществлении контроля (надзора) в области безопасности дорожного движения.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Для осведомленности участников дорожного движения предусмотрена публикация сведений о местах размещения дородных видеокамер и о видах нарушений, которые ими фиксируются, на сайте МВД России.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Такие данные будут размещаться в течение 20 рабочих дней со дня получения территориальным подразделением органа внутренних дел соответствующей информации от уполномоченного органа исполнительной власти субъекта Российской Федерации.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Новые правила вступ</w:t>
      </w:r>
      <w:r>
        <w:rPr>
          <w:rFonts w:ascii="Times New Roman" w:hAnsi="Times New Roman" w:cs="Times New Roman"/>
          <w:sz w:val="24"/>
          <w:szCs w:val="24"/>
        </w:rPr>
        <w:t>или</w:t>
      </w:r>
      <w:r w:rsidRPr="009130E8">
        <w:rPr>
          <w:rFonts w:ascii="Times New Roman" w:hAnsi="Times New Roman" w:cs="Times New Roman"/>
          <w:sz w:val="24"/>
          <w:szCs w:val="24"/>
        </w:rPr>
        <w:t xml:space="preserve"> в силу с 01.09.2024 и будут действовать до 01.09.2030.</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b/>
          <w:sz w:val="24"/>
          <w:szCs w:val="24"/>
        </w:rPr>
      </w:pPr>
      <w:r w:rsidRPr="009130E8">
        <w:rPr>
          <w:rFonts w:ascii="Times New Roman" w:hAnsi="Times New Roman" w:cs="Times New Roman"/>
          <w:b/>
          <w:sz w:val="24"/>
          <w:szCs w:val="24"/>
        </w:rPr>
        <w:t>Федеральным законом от 13 июля 2024 г. № 179-ФЗ «О ежегодной семейной выплате гражданам Российской Федерации, имеющим двух и более детей» для работающих родителей, вводится ежегодная выплата</w:t>
      </w:r>
    </w:p>
    <w:p w:rsid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 целях обеспечения социальной поддержки семей, имеющих детей, Федеральным законом устанавливается ежегодная семейная выплата гражданам Российской Федерации, имеющим двух и более детей. Право на получение выплаты предоставляется работающим родителям (усыновителям, опекунам, попечителям), имеющим двух и более детей, являющихся гражданами Российской Федерации и постоянно проживающих на территории Российской Федерации, при условии, что такие родители (усыновители, опекуны, попечители) являются гражданами Российской Федерации, постоянно проживают на территории Российской Федерации, являются налоговыми резидентами Российской Федерации и с их доходов уплачен налог на доходы физических лиц в году, предшествующем году обращения за назначением выплаты.</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Право на получение выплаты возникает при условии,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пунктом 3 статьи 4 Федерального закона от 24 октября 1997 года № 134-ФЗ «О прожиточном минимуме в Российской Федерации» на год, предшествующий году обращения за назначением выплаты.</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Выплата производится каждому из родителей (усыновителей, опекунов, попечителей) детей в возрасте до 18 лет и детей в возрасте до 23 лет в случае, если они обучаются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по дополнительным образовательным программам), при условии, что у заявителя отсутствует задолженность по уплате алиментов.</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Выплата назначается и производится территориальным органом Фонда пенсионного и социального страхования Российской Федерации.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Заявление о назначении выплаты может быть подано заявителем с 1 июня до 1 октября года, следующего за годом, за который исчислен налог на доходы физических лиц.</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(пребывания) или месту фактического проживания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Настоящий Федеральный закон вступает в силу с 1 января 2026 года.</w:t>
      </w: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Об административном надзоре</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Федеральным законом от 06.04.2024 № 69-ФЗ «О внесении изменения в статью 4 Федерального закона «Об административном надзоре за лицами, освобожденными из мест лишения свободы» расширен перечень административных ограничений, налагаемых на поднадзорных лиц, имеющих непогашенную либо неснятую судимость за совершение преступления против половой неприкосновенности и половой свободы несовершеннолетнего.</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 отношении указанных лиц судом, помимо иных административных ограничений, устанавливается запрещение посещения объектов и территорий образовательных, 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(за исключением случаев, если поднадзорное лицо, являясь родителем несовершеннолетнего, сопровождает его, в том числе для представления его интересов).</w:t>
      </w:r>
    </w:p>
    <w:p w:rsid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 Айланматов</w:t>
      </w:r>
    </w:p>
    <w:p w:rsidR="009130E8" w:rsidRPr="00FF224C" w:rsidRDefault="009130E8" w:rsidP="009130E8">
      <w:pPr>
        <w:spacing w:after="0" w:line="240" w:lineRule="auto"/>
        <w:ind w:firstLine="709"/>
        <w:jc w:val="both"/>
        <w:rPr>
          <w:rFonts w:ascii="Times New Roman" w:hAnsi="Times New Roman" w:cs="Times New Roman"/>
          <w:sz w:val="24"/>
          <w:szCs w:val="24"/>
        </w:rPr>
      </w:pPr>
      <w:bookmarkStart w:id="0" w:name="_GoBack"/>
      <w:bookmarkEnd w:id="0"/>
    </w:p>
    <w:sectPr w:rsidR="009130E8" w:rsidRPr="00FF224C" w:rsidSect="007A5D0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760C1"/>
    <w:rsid w:val="000760C1"/>
    <w:rsid w:val="001F03E5"/>
    <w:rsid w:val="00252355"/>
    <w:rsid w:val="002C673A"/>
    <w:rsid w:val="00777946"/>
    <w:rsid w:val="007A5D03"/>
    <w:rsid w:val="00850DD2"/>
    <w:rsid w:val="009130E8"/>
    <w:rsid w:val="00C356DF"/>
    <w:rsid w:val="00E8724C"/>
    <w:rsid w:val="00EC346C"/>
    <w:rsid w:val="00FF2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0DD2"/>
    <w:rPr>
      <w:b/>
      <w:bCs/>
    </w:rPr>
  </w:style>
  <w:style w:type="paragraph" w:customStyle="1" w:styleId="rtecenter">
    <w:name w:val="rtecenter"/>
    <w:basedOn w:val="a"/>
    <w:rsid w:val="002C6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C6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C67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0DD2"/>
    <w:rPr>
      <w:b/>
      <w:bCs/>
    </w:rPr>
  </w:style>
  <w:style w:type="paragraph" w:customStyle="1" w:styleId="rtecenter">
    <w:name w:val="rtecenter"/>
    <w:basedOn w:val="a"/>
    <w:rsid w:val="002C6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C6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C673A"/>
    <w:rPr>
      <w:i/>
      <w:iCs/>
    </w:rPr>
  </w:style>
</w:styles>
</file>

<file path=word/webSettings.xml><?xml version="1.0" encoding="utf-8"?>
<w:webSettings xmlns:r="http://schemas.openxmlformats.org/officeDocument/2006/relationships" xmlns:w="http://schemas.openxmlformats.org/wordprocessingml/2006/main">
  <w:divs>
    <w:div w:id="1009135543">
      <w:bodyDiv w:val="1"/>
      <w:marLeft w:val="0"/>
      <w:marRight w:val="0"/>
      <w:marTop w:val="0"/>
      <w:marBottom w:val="0"/>
      <w:divBdr>
        <w:top w:val="none" w:sz="0" w:space="0" w:color="auto"/>
        <w:left w:val="none" w:sz="0" w:space="0" w:color="auto"/>
        <w:bottom w:val="none" w:sz="0" w:space="0" w:color="auto"/>
        <w:right w:val="none" w:sz="0" w:space="0" w:color="auto"/>
      </w:divBdr>
    </w:div>
    <w:div w:id="1527333543">
      <w:bodyDiv w:val="1"/>
      <w:marLeft w:val="0"/>
      <w:marRight w:val="0"/>
      <w:marTop w:val="0"/>
      <w:marBottom w:val="0"/>
      <w:divBdr>
        <w:top w:val="none" w:sz="0" w:space="0" w:color="auto"/>
        <w:left w:val="none" w:sz="0" w:space="0" w:color="auto"/>
        <w:bottom w:val="none" w:sz="0" w:space="0" w:color="auto"/>
        <w:right w:val="none" w:sz="0" w:space="0" w:color="auto"/>
      </w:divBdr>
    </w:div>
    <w:div w:id="18455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96&amp;dst=26565&amp;demo=1" TargetMode="External"/><Relationship Id="rId13" Type="http://schemas.openxmlformats.org/officeDocument/2006/relationships/hyperlink" Target="https://login.consultant.ru/link/?req=doc&amp;base=LAW&amp;n=482896&amp;dst=26570&amp;demo=1"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482896&amp;dst=26564&amp;demo=1" TargetMode="External"/><Relationship Id="rId12" Type="http://schemas.openxmlformats.org/officeDocument/2006/relationships/hyperlink" Target="https://login.consultant.ru/link/?req=doc&amp;base=LAW&amp;n=482896&amp;dst=26569&amp;demo=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2896&amp;dst=26563&amp;demo=1" TargetMode="External"/><Relationship Id="rId11" Type="http://schemas.openxmlformats.org/officeDocument/2006/relationships/hyperlink" Target="https://login.consultant.ru/link/?req=doc&amp;base=LAW&amp;n=482896&amp;dst=26568&amp;demo=1" TargetMode="External"/><Relationship Id="rId5" Type="http://schemas.openxmlformats.org/officeDocument/2006/relationships/hyperlink" Target="https://login.consultant.ru/link/?req=doc&amp;base=LAW&amp;n=482529&amp;dst=100783&amp;demo=1" TargetMode="External"/><Relationship Id="rId15" Type="http://schemas.openxmlformats.org/officeDocument/2006/relationships/hyperlink" Target="https://login.consultant.ru/link/?req=doc&amp;base=LAW&amp;n=482896&amp;dst=26572&amp;demo=1" TargetMode="External"/><Relationship Id="rId10" Type="http://schemas.openxmlformats.org/officeDocument/2006/relationships/hyperlink" Target="https://login.consultant.ru/link/?req=doc&amp;base=LAW&amp;n=482896&amp;dst=26567&amp;demo=1" TargetMode="External"/><Relationship Id="rId4" Type="http://schemas.openxmlformats.org/officeDocument/2006/relationships/hyperlink" Target="https://login.consultant.ru/link/?req=doc&amp;base=LAW&amp;n=482529&amp;dst=100757&amp;demo=1" TargetMode="External"/><Relationship Id="rId9" Type="http://schemas.openxmlformats.org/officeDocument/2006/relationships/hyperlink" Target="https://login.consultant.ru/link/?req=doc&amp;base=LAW&amp;n=482896&amp;dst=26566&amp;demo=1" TargetMode="External"/><Relationship Id="rId14" Type="http://schemas.openxmlformats.org/officeDocument/2006/relationships/hyperlink" Target="https://login.consultant.ru/link/?req=doc&amp;base=LAW&amp;n=482896&amp;dst=2657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5125</Words>
  <Characters>29217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Admin_n1</cp:lastModifiedBy>
  <cp:revision>2</cp:revision>
  <dcterms:created xsi:type="dcterms:W3CDTF">2024-12-28T14:52:00Z</dcterms:created>
  <dcterms:modified xsi:type="dcterms:W3CDTF">2024-12-28T14:52:00Z</dcterms:modified>
</cp:coreProperties>
</file>